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8" w:rsidRDefault="00397879">
      <w:pPr>
        <w:widowControl w:val="0"/>
        <w:shd w:val="clear" w:color="auto" w:fill="FFFFFF"/>
        <w:spacing w:line="317" w:lineRule="exact"/>
        <w:ind w:left="14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b/>
          <w:bCs/>
          <w:sz w:val="28"/>
          <w:szCs w:val="28"/>
        </w:rPr>
        <w:t>АДМИНИСТРАЦИЯ</w:t>
      </w:r>
    </w:p>
    <w:p w:rsidR="001C7E28" w:rsidRDefault="00397879">
      <w:pPr>
        <w:widowControl w:val="0"/>
        <w:shd w:val="clear" w:color="auto" w:fill="FFFFFF"/>
        <w:spacing w:line="317" w:lineRule="exact"/>
        <w:ind w:right="5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b/>
          <w:bCs/>
          <w:sz w:val="28"/>
          <w:szCs w:val="28"/>
        </w:rPr>
        <w:t>МИЧУРИНСКОГО СЕЛЬСКОГО ПОСЕЛЕНИЯ</w:t>
      </w:r>
    </w:p>
    <w:p w:rsidR="001C7E28" w:rsidRDefault="00397879">
      <w:pPr>
        <w:widowControl w:val="0"/>
        <w:shd w:val="clear" w:color="auto" w:fill="FFFFFF"/>
        <w:spacing w:line="317" w:lineRule="exact"/>
        <w:ind w:right="5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>КАМЫШИНСКОГО МУНИЦИПАЛЬНОГО РАЙОНА</w:t>
      </w:r>
    </w:p>
    <w:p w:rsidR="001C7E28" w:rsidRDefault="00397879">
      <w:pPr>
        <w:widowControl w:val="0"/>
        <w:shd w:val="clear" w:color="auto" w:fill="FFFFFF"/>
        <w:spacing w:line="317" w:lineRule="exact"/>
        <w:ind w:left="5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1C7E28" w:rsidRDefault="00397879">
      <w:pPr>
        <w:widowControl w:val="0"/>
        <w:shd w:val="clear" w:color="auto" w:fill="FFFFFF"/>
        <w:spacing w:before="614"/>
        <w:ind w:right="1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ПОСТАНОВЛЕНИЕ </w:t>
      </w:r>
      <w:r>
        <w:rPr>
          <w:b/>
          <w:spacing w:val="-2"/>
          <w:sz w:val="28"/>
          <w:szCs w:val="28"/>
        </w:rPr>
        <w:t>№ 122</w:t>
      </w:r>
    </w:p>
    <w:p w:rsidR="001C7E28" w:rsidRDefault="00397879">
      <w:pPr>
        <w:widowControl w:val="0"/>
        <w:shd w:val="clear" w:color="auto" w:fill="FFFFFF"/>
        <w:tabs>
          <w:tab w:val="left" w:pos="6950"/>
        </w:tabs>
        <w:spacing w:before="619"/>
        <w:ind w:left="1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29.10.2020 г.</w:t>
      </w:r>
      <w:r>
        <w:rPr>
          <w:sz w:val="28"/>
          <w:szCs w:val="28"/>
        </w:rPr>
        <w:tab/>
      </w:r>
    </w:p>
    <w:p w:rsidR="003E0A00" w:rsidRDefault="003E0A00">
      <w:pPr>
        <w:widowControl w:val="0"/>
        <w:shd w:val="clear" w:color="auto" w:fill="FFFFFF"/>
        <w:spacing w:line="274" w:lineRule="exact"/>
        <w:ind w:right="5069"/>
        <w:rPr>
          <w:spacing w:val="-21"/>
          <w:sz w:val="28"/>
          <w:szCs w:val="28"/>
        </w:rPr>
      </w:pPr>
    </w:p>
    <w:p w:rsidR="001C7E28" w:rsidRDefault="00397879">
      <w:pPr>
        <w:widowControl w:val="0"/>
        <w:shd w:val="clear" w:color="auto" w:fill="FFFFFF"/>
        <w:spacing w:line="274" w:lineRule="exact"/>
        <w:ind w:right="5069"/>
        <w:rPr>
          <w:rFonts w:eastAsiaTheme="minorEastAsia"/>
          <w:sz w:val="28"/>
          <w:szCs w:val="28"/>
        </w:rPr>
      </w:pPr>
      <w:r>
        <w:rPr>
          <w:spacing w:val="-21"/>
          <w:sz w:val="28"/>
          <w:szCs w:val="28"/>
        </w:rPr>
        <w:t>Об утверждении прогноза социально- экономического развития Мичуринского сельского поселения  на  2021</w:t>
      </w:r>
      <w:r>
        <w:t xml:space="preserve"> </w:t>
      </w:r>
      <w:r>
        <w:rPr>
          <w:spacing w:val="-21"/>
          <w:sz w:val="28"/>
          <w:szCs w:val="28"/>
        </w:rPr>
        <w:t>и    на плановый период 2022 и 2023 годов</w:t>
      </w:r>
    </w:p>
    <w:p w:rsidR="001C7E28" w:rsidRDefault="001C7E28">
      <w:pPr>
        <w:widowControl w:val="0"/>
        <w:shd w:val="clear" w:color="auto" w:fill="FFFFFF"/>
        <w:spacing w:before="336"/>
        <w:ind w:left="24"/>
        <w:jc w:val="both"/>
        <w:rPr>
          <w:spacing w:val="-2"/>
          <w:sz w:val="28"/>
          <w:szCs w:val="28"/>
        </w:rPr>
      </w:pPr>
    </w:p>
    <w:p w:rsidR="001C7E28" w:rsidRDefault="00397879">
      <w:pPr>
        <w:widowControl w:val="0"/>
        <w:shd w:val="clear" w:color="auto" w:fill="FFFFFF"/>
        <w:spacing w:before="3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ст. 173  Бюджетного кодекса Российской Федерации, руководствуясь Уставом Мичуринского сельского поселения,</w:t>
      </w:r>
    </w:p>
    <w:p w:rsidR="001C7E28" w:rsidRDefault="00397879">
      <w:pPr>
        <w:widowControl w:val="0"/>
        <w:shd w:val="clear" w:color="auto" w:fill="FFFFFF"/>
        <w:spacing w:before="336"/>
        <w:ind w:left="24"/>
        <w:rPr>
          <w:rFonts w:eastAsiaTheme="minorEastAsia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ПОСТАНОВЛЯЮ:</w:t>
      </w:r>
    </w:p>
    <w:p w:rsidR="001C7E28" w:rsidRDefault="00397879">
      <w:pPr>
        <w:widowControl w:val="0"/>
        <w:numPr>
          <w:ilvl w:val="0"/>
          <w:numId w:val="1"/>
        </w:numPr>
        <w:shd w:val="clear" w:color="auto" w:fill="FFFFFF"/>
        <w:tabs>
          <w:tab w:val="left" w:pos="1838"/>
        </w:tabs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Утвердить  прогноз социально-экономического развития Мичуринского сельского поселения на 2021 и на плановый период 2022 и 2023 годов (Приложение № 1).</w:t>
      </w:r>
    </w:p>
    <w:p w:rsidR="001C7E28" w:rsidRDefault="00397879">
      <w:pPr>
        <w:widowControl w:val="0"/>
        <w:numPr>
          <w:ilvl w:val="0"/>
          <w:numId w:val="1"/>
        </w:numPr>
        <w:shd w:val="clear" w:color="auto" w:fill="FFFFFF"/>
        <w:tabs>
          <w:tab w:val="left" w:pos="1838"/>
        </w:tabs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1C7E28" w:rsidRDefault="00397879">
      <w:pPr>
        <w:widowControl w:val="0"/>
        <w:numPr>
          <w:ilvl w:val="0"/>
          <w:numId w:val="1"/>
        </w:numPr>
        <w:shd w:val="clear" w:color="auto" w:fill="FFFFFF"/>
        <w:tabs>
          <w:tab w:val="left" w:pos="1838"/>
        </w:tabs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7E28" w:rsidRDefault="001C7E28">
      <w:pPr>
        <w:widowControl w:val="0"/>
        <w:shd w:val="clear" w:color="auto" w:fill="FFFFFF"/>
        <w:spacing w:before="634"/>
        <w:rPr>
          <w:sz w:val="28"/>
          <w:szCs w:val="28"/>
        </w:rPr>
      </w:pPr>
    </w:p>
    <w:p w:rsidR="001C7E28" w:rsidRPr="003E0A00" w:rsidRDefault="00397879">
      <w:pPr>
        <w:widowControl w:val="0"/>
        <w:shd w:val="clear" w:color="auto" w:fill="FFFFFF"/>
        <w:spacing w:before="634"/>
        <w:rPr>
          <w:rFonts w:eastAsiaTheme="minorEastAsia"/>
          <w:sz w:val="28"/>
          <w:szCs w:val="28"/>
        </w:rPr>
      </w:pPr>
      <w:r w:rsidRPr="003E0A00">
        <w:rPr>
          <w:sz w:val="28"/>
          <w:szCs w:val="28"/>
        </w:rPr>
        <w:t xml:space="preserve">Глава </w:t>
      </w:r>
      <w:proofErr w:type="gramStart"/>
      <w:r w:rsidRPr="003E0A00">
        <w:rPr>
          <w:sz w:val="28"/>
          <w:szCs w:val="28"/>
        </w:rPr>
        <w:t>Мичуринского</w:t>
      </w:r>
      <w:proofErr w:type="gramEnd"/>
    </w:p>
    <w:p w:rsidR="001C7E28" w:rsidRPr="003E0A00" w:rsidRDefault="00397879">
      <w:pPr>
        <w:widowControl w:val="0"/>
        <w:shd w:val="clear" w:color="auto" w:fill="FFFFFF"/>
        <w:tabs>
          <w:tab w:val="left" w:pos="7522"/>
        </w:tabs>
        <w:ind w:left="14"/>
        <w:rPr>
          <w:color w:val="000000" w:themeColor="text1"/>
        </w:rPr>
      </w:pPr>
      <w:r w:rsidRPr="003E0A00">
        <w:rPr>
          <w:spacing w:val="-3"/>
          <w:sz w:val="28"/>
          <w:szCs w:val="28"/>
        </w:rPr>
        <w:t>сельского поселения</w:t>
      </w:r>
      <w:r w:rsidRPr="003E0A00">
        <w:rPr>
          <w:sz w:val="28"/>
          <w:szCs w:val="28"/>
        </w:rPr>
        <w:t xml:space="preserve">                                                                    </w:t>
      </w:r>
      <w:r w:rsidRPr="003E0A00">
        <w:rPr>
          <w:spacing w:val="-2"/>
          <w:sz w:val="28"/>
          <w:szCs w:val="28"/>
        </w:rPr>
        <w:t>А.Ю. Кельн</w:t>
      </w: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397879">
      <w:pPr>
        <w:widowControl w:val="0"/>
        <w:shd w:val="clear" w:color="auto" w:fill="FFFFFF"/>
        <w:tabs>
          <w:tab w:val="left" w:pos="7522"/>
        </w:tabs>
        <w:ind w:left="14"/>
        <w:jc w:val="right"/>
      </w:pPr>
      <w:r>
        <w:t>Приложение №1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ind w:left="14"/>
        <w:jc w:val="right"/>
      </w:pPr>
      <w:r>
        <w:t>к постановлению администрации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ind w:left="14"/>
        <w:jc w:val="right"/>
      </w:pPr>
      <w:r>
        <w:t xml:space="preserve"> Мичуринского сельского поселения</w:t>
      </w:r>
    </w:p>
    <w:p w:rsidR="001C7E28" w:rsidRDefault="00533BFB">
      <w:pPr>
        <w:widowControl w:val="0"/>
        <w:shd w:val="clear" w:color="auto" w:fill="FFFFFF"/>
        <w:tabs>
          <w:tab w:val="left" w:pos="7522"/>
        </w:tabs>
        <w:ind w:left="14"/>
        <w:jc w:val="right"/>
      </w:pPr>
      <w:r>
        <w:t>№ 1</w:t>
      </w:r>
      <w:r w:rsidR="003E0A00">
        <w:t>2</w:t>
      </w:r>
      <w:r>
        <w:t>2 от 29.10.2020</w:t>
      </w:r>
      <w:r w:rsidR="00397879">
        <w:t>г.</w:t>
      </w: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right"/>
        <w:rPr>
          <w:color w:val="000000" w:themeColor="text1"/>
        </w:rPr>
      </w:pPr>
    </w:p>
    <w:p w:rsidR="001C7E28" w:rsidRDefault="00397879">
      <w:pPr>
        <w:widowControl w:val="0"/>
        <w:shd w:val="clear" w:color="auto" w:fill="FFFFFF"/>
        <w:tabs>
          <w:tab w:val="left" w:pos="7522"/>
        </w:tabs>
        <w:ind w:left="1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Основные показатели прогноза социально-экономического развития Мичуринского сельского поселения на 2021 год и на плановый период 2022 и 2023 годов</w:t>
      </w: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center"/>
        <w:rPr>
          <w:b/>
          <w:color w:val="000000" w:themeColor="text1"/>
        </w:rPr>
      </w:pPr>
    </w:p>
    <w:tbl>
      <w:tblPr>
        <w:tblStyle w:val="af"/>
        <w:tblW w:w="10932" w:type="dxa"/>
        <w:tblInd w:w="-1031" w:type="dxa"/>
        <w:tblCellMar>
          <w:left w:w="103" w:type="dxa"/>
        </w:tblCellMar>
        <w:tblLook w:val="04A0"/>
      </w:tblPr>
      <w:tblGrid>
        <w:gridCol w:w="2290"/>
        <w:gridCol w:w="1853"/>
        <w:gridCol w:w="923"/>
        <w:gridCol w:w="818"/>
        <w:gridCol w:w="817"/>
        <w:gridCol w:w="819"/>
        <w:gridCol w:w="827"/>
        <w:gridCol w:w="833"/>
        <w:gridCol w:w="834"/>
        <w:gridCol w:w="918"/>
      </w:tblGrid>
      <w:tr w:rsidR="001C7E28">
        <w:tc>
          <w:tcPr>
            <w:tcW w:w="2290" w:type="dxa"/>
            <w:vMerge w:val="restart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853" w:type="dxa"/>
            <w:vMerge w:val="restart"/>
            <w:shd w:val="clear" w:color="auto" w:fill="auto"/>
            <w:tcMar>
              <w:left w:w="103" w:type="dxa"/>
            </w:tcMar>
          </w:tcPr>
          <w:p w:rsidR="001C7E28" w:rsidRDefault="00397879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5047" w:type="dxa"/>
            <w:gridSpan w:val="6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1C7E28">
        <w:tc>
          <w:tcPr>
            <w:tcW w:w="2290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636" w:type="dxa"/>
            <w:gridSpan w:val="2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51" w:type="dxa"/>
            <w:gridSpan w:val="2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1C7E28">
        <w:trPr>
          <w:cantSplit/>
          <w:trHeight w:hRule="exact" w:val="1134"/>
        </w:trPr>
        <w:tc>
          <w:tcPr>
            <w:tcW w:w="2290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1 базовый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2 целевой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ind w:left="175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1 базовый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2 целевой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1 базовый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C7E28" w:rsidRDefault="00397879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вариант 2 целевой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Население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</w:rPr>
            </w:pPr>
          </w:p>
        </w:tc>
      </w:tr>
      <w:tr w:rsidR="001C7E28">
        <w:trPr>
          <w:trHeight w:val="59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население (среднегодовая)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5,364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5,312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5,258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5,258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5,207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5,207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5,165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5,165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3,39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2,90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2,75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умершихся на 1000 человек населения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9,88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9,60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10,27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11,02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10,18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10,84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10,26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10,93</w:t>
            </w:r>
          </w:p>
        </w:tc>
      </w:tr>
      <w:tr w:rsidR="001C7E28">
        <w:trPr>
          <w:trHeight w:val="553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Сельское хозяйство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rPr>
          <w:cantSplit/>
          <w:trHeight w:val="561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147523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157926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168780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166079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179069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173153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189602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180065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107,8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93,4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91,7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- дефлятор продукции сельского хозяйства в хозяйствах всех категорий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97115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108039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117095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115916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124691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120950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132560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  <w:vAlign w:val="center"/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125932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91,8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50408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49887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51685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50163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54378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52203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57042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54133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Индекс-дефлятор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% к предыдущему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104,3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rPr>
          <w:trHeight w:val="69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Продукция сельскохозяйственных организаций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rPr>
          <w:trHeight w:val="91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rPr>
          <w:trHeight w:val="72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</w:tr>
      <w:tr w:rsidR="001C7E28">
        <w:trPr>
          <w:trHeight w:val="791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rPr>
          <w:trHeight w:val="142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Продукция крестьянских (фермерских) хозяйств и индивидуальных</w:t>
            </w:r>
          </w:p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предпринимателей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rPr>
          <w:trHeight w:val="94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сельского хозяйства всех категорий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rPr>
          <w:trHeight w:val="73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</w:tr>
      <w:tr w:rsidR="001C7E28">
        <w:trPr>
          <w:trHeight w:val="17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rPr>
          <w:trHeight w:val="64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Продукция хозяйств населения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147523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157926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168780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166079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179069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173153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189602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180065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107,8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93,4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91,7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97115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108039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117095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115916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124691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120950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132560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125932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91,8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дефлятор продукции растениеводства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50408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49887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51685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50163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54378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52203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57042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54133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% к предыдущему году в сопоставимых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106,6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Индекс дефлятор продукции животноводства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102,3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Торговля и услуги населению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соответствующему периоду предыдущего года,%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ценах соответствующих лет 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92754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89060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93511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91641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98218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96253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105007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102906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94,2</w:t>
            </w:r>
          </w:p>
        </w:tc>
      </w:tr>
      <w:tr w:rsidR="001C7E28">
        <w:trPr>
          <w:trHeight w:val="70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C7E28">
        <w:trPr>
          <w:trHeight w:val="21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76657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75346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78119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77963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82142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81732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88081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87200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соответствующему периоду предыдущего года,%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96,9 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95,1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Индекс-дефлятор объема платных услуг населению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соответствующему периоду предыдущего года,%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14291,01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14184,17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14857,25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14827,54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15775,36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15696,49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17053,43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16882,87</w:t>
            </w:r>
          </w:p>
        </w:tc>
      </w:tr>
      <w:tr w:rsidR="001C7E28">
        <w:trPr>
          <w:trHeight w:val="353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Инвестиции</w:t>
            </w:r>
          </w:p>
          <w:p w:rsidR="001C7E28" w:rsidRDefault="001C7E28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rPr>
          <w:trHeight w:val="104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инвестиций в основной капитал за счет всех источников- всего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97584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56262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61437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61202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67798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66962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74605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73124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93,6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Индекс-дефлятор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 к предыдущему году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104,8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1047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Ввод жилья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доходы-всего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widowControl w:val="0"/>
              <w:tabs>
                <w:tab w:val="left" w:pos="75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12577,5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12768,2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15044,4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15044,4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15623,9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16106,1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т. ч. налоговые доходы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widowControl w:val="0"/>
              <w:tabs>
                <w:tab w:val="left" w:pos="75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12551,7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12768,2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15044,4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15044,4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15623,9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15623,9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16106,1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16106,1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widowControl w:val="0"/>
              <w:tabs>
                <w:tab w:val="left" w:pos="75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Pr="00820E9A" w:rsidRDefault="00820E9A">
            <w:pPr>
              <w:jc w:val="center"/>
              <w:rPr>
                <w:sz w:val="18"/>
                <w:szCs w:val="18"/>
              </w:rPr>
            </w:pPr>
            <w:r w:rsidRPr="00820E9A"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Pr="00820E9A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Pr="00820E9A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Pr="00820E9A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Pr="00820E9A" w:rsidRDefault="0082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7E28">
        <w:trPr>
          <w:trHeight w:val="118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Денежные доходы и расходы  населения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rPr>
          <w:trHeight w:val="195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765892,0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814693,0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835937,0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801710,0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877061,0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842319,0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919444,0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883430,0</w:t>
            </w:r>
          </w:p>
        </w:tc>
      </w:tr>
      <w:tr w:rsidR="001C7E28">
        <w:trPr>
          <w:trHeight w:val="300"/>
        </w:trPr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1C7E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Среднедушевые денежные доходы (в месяц)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11899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12781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13249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12706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14037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13481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14253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24427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25703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26081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32137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25446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33428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26515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34930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23420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24858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25126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30990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24491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32204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25495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33587</w:t>
            </w:r>
          </w:p>
        </w:tc>
      </w:tr>
      <w:tr w:rsidR="001C7E28">
        <w:tc>
          <w:tcPr>
            <w:tcW w:w="2290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руб. в месяц</w:t>
            </w:r>
          </w:p>
        </w:tc>
        <w:tc>
          <w:tcPr>
            <w:tcW w:w="92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widowControl w:val="0"/>
              <w:tabs>
                <w:tab w:val="left" w:pos="752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10890,0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11196,0</w:t>
            </w:r>
          </w:p>
        </w:tc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11545,0</w:t>
            </w:r>
          </w:p>
        </w:tc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11560,0</w:t>
            </w:r>
          </w:p>
        </w:tc>
        <w:tc>
          <w:tcPr>
            <w:tcW w:w="827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11969,0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12010,0</w:t>
            </w:r>
          </w:p>
        </w:tc>
        <w:tc>
          <w:tcPr>
            <w:tcW w:w="834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12400,0</w:t>
            </w:r>
          </w:p>
        </w:tc>
        <w:tc>
          <w:tcPr>
            <w:tcW w:w="918" w:type="dxa"/>
            <w:shd w:val="clear" w:color="auto" w:fill="auto"/>
            <w:tcMar>
              <w:left w:w="103" w:type="dxa"/>
            </w:tcMar>
          </w:tcPr>
          <w:p w:rsidR="001C7E28" w:rsidRDefault="003978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12516,0</w:t>
            </w:r>
          </w:p>
        </w:tc>
      </w:tr>
    </w:tbl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Пояснительная записка к прогнозу социально-экономического развития Мичуринского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на 2021 год и на плановый период 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2022 и 2023 годов</w:t>
      </w: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center"/>
        <w:rPr>
          <w:b/>
          <w:color w:val="000000" w:themeColor="text1"/>
          <w:sz w:val="28"/>
          <w:szCs w:val="28"/>
        </w:rPr>
      </w:pPr>
    </w:p>
    <w:p w:rsidR="001C7E28" w:rsidRDefault="00397879">
      <w:pPr>
        <w:widowControl w:val="0"/>
        <w:shd w:val="clear" w:color="auto" w:fill="FFFFFF"/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Прогноз социально-экономического развития Мичуринского сельского поселения на 2021 год и на плановый период 2022 и 2023 годов разработан в соответствии </w:t>
      </w:r>
      <w:r>
        <w:rPr>
          <w:color w:val="000000" w:themeColor="text1"/>
          <w:spacing w:val="-2"/>
          <w:sz w:val="28"/>
          <w:szCs w:val="28"/>
        </w:rPr>
        <w:t xml:space="preserve">со ст. 173  Бюджетного кодекса Российской Федерации. 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ab/>
        <w:t xml:space="preserve">Прогноз </w:t>
      </w:r>
      <w:r>
        <w:rPr>
          <w:color w:val="000000" w:themeColor="text1"/>
          <w:sz w:val="28"/>
          <w:szCs w:val="28"/>
        </w:rPr>
        <w:t xml:space="preserve">социально-экономического развития Мичуринского сельского поселения является ориентиром для формирования бюджета сельского поселения на 2021 год, а также хозяйствующих субъектов при принятии конкретных решений в области социально-экономической политики. Важнейшая задача сельского поселения это изыскание внутренних резервов для пополнения доходной части местного бюджета. В целях минимизации угроз не сбалансированности местного бюджета для разработки взят базовый метод, наиболее реалистичный. 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Раздел 1. Демографические показатели.</w:t>
      </w:r>
    </w:p>
    <w:p w:rsidR="001C7E28" w:rsidRPr="00854D8B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По состоянию на 1 января 2020 года на территории Мичуринского сельского поселения проживает 5312 человек. В условиях естественного и механического движения населения в 2020 году численность постоянного населения в районе уменьшилась на </w:t>
      </w:r>
      <w:r w:rsidRPr="00854D8B">
        <w:rPr>
          <w:sz w:val="28"/>
          <w:szCs w:val="28"/>
        </w:rPr>
        <w:t>52 человека. В сельском поселении продолжает сохраняться сложная демографическая обстановка, когда смертность превышает рождаемость.</w:t>
      </w:r>
    </w:p>
    <w:p w:rsidR="001C7E28" w:rsidRPr="00854D8B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sz w:val="28"/>
          <w:szCs w:val="28"/>
        </w:rPr>
      </w:pPr>
      <w:r w:rsidRPr="00854D8B">
        <w:rPr>
          <w:sz w:val="28"/>
          <w:szCs w:val="28"/>
        </w:rPr>
        <w:t xml:space="preserve">      Сравнительный анализ числа родившихся детей и количество умерших людей показывает тенденцию увеличения убыли населения.</w:t>
      </w:r>
    </w:p>
    <w:p w:rsidR="001C7E28" w:rsidRPr="00854D8B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right"/>
      </w:pPr>
      <w:r w:rsidRPr="00854D8B">
        <w:t>Табл.1</w:t>
      </w:r>
    </w:p>
    <w:tbl>
      <w:tblPr>
        <w:tblStyle w:val="af"/>
        <w:tblW w:w="9557" w:type="dxa"/>
        <w:tblInd w:w="9" w:type="dxa"/>
        <w:tblCellMar>
          <w:left w:w="103" w:type="dxa"/>
        </w:tblCellMar>
        <w:tblLook w:val="04A0"/>
      </w:tblPr>
      <w:tblGrid>
        <w:gridCol w:w="1908"/>
        <w:gridCol w:w="1911"/>
        <w:gridCol w:w="1913"/>
        <w:gridCol w:w="1911"/>
        <w:gridCol w:w="1914"/>
      </w:tblGrid>
      <w:tr w:rsidR="00854D8B" w:rsidRPr="00854D8B">
        <w:tc>
          <w:tcPr>
            <w:tcW w:w="1908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№ п/п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Период (год)</w:t>
            </w:r>
          </w:p>
        </w:tc>
        <w:tc>
          <w:tcPr>
            <w:tcW w:w="1913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Число родившихся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Число умерших</w:t>
            </w: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Естественный прирост</w:t>
            </w:r>
          </w:p>
        </w:tc>
      </w:tr>
      <w:tr w:rsidR="00854D8B" w:rsidRPr="00854D8B">
        <w:tc>
          <w:tcPr>
            <w:tcW w:w="1908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1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2019</w:t>
            </w:r>
          </w:p>
        </w:tc>
        <w:tc>
          <w:tcPr>
            <w:tcW w:w="1913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16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40</w:t>
            </w: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-24</w:t>
            </w:r>
          </w:p>
        </w:tc>
      </w:tr>
      <w:tr w:rsidR="00854D8B" w:rsidRPr="00854D8B">
        <w:tc>
          <w:tcPr>
            <w:tcW w:w="1908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2020 (за 9 мес.)</w:t>
            </w:r>
          </w:p>
        </w:tc>
        <w:tc>
          <w:tcPr>
            <w:tcW w:w="1913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11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33</w:t>
            </w: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1C7E28" w:rsidRPr="00854D8B" w:rsidRDefault="00397879">
            <w:pPr>
              <w:widowControl w:val="0"/>
              <w:tabs>
                <w:tab w:val="left" w:pos="7522"/>
              </w:tabs>
              <w:spacing w:line="360" w:lineRule="auto"/>
              <w:jc w:val="both"/>
            </w:pPr>
            <w:r w:rsidRPr="00854D8B">
              <w:t>-22</w:t>
            </w:r>
          </w:p>
        </w:tc>
      </w:tr>
    </w:tbl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FF0000"/>
          <w:sz w:val="28"/>
          <w:szCs w:val="28"/>
        </w:rPr>
      </w:pPr>
    </w:p>
    <w:p w:rsidR="001C7E28" w:rsidRPr="00854D8B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</w:pPr>
      <w:r>
        <w:rPr>
          <w:sz w:val="28"/>
          <w:szCs w:val="28"/>
        </w:rPr>
        <w:t xml:space="preserve">В 2020 (за 9 мес.) году в сельском поселении смертность населения </w:t>
      </w:r>
      <w:r>
        <w:rPr>
          <w:sz w:val="28"/>
          <w:szCs w:val="28"/>
        </w:rPr>
        <w:lastRenderedPageBreak/>
        <w:t xml:space="preserve">значительно уменьшилась по сравнению с 2019 годом и составила </w:t>
      </w:r>
      <w:r w:rsidRPr="00854D8B">
        <w:rPr>
          <w:sz w:val="28"/>
          <w:szCs w:val="28"/>
        </w:rPr>
        <w:t>33 человек.</w:t>
      </w:r>
    </w:p>
    <w:p w:rsidR="001C7E28" w:rsidRPr="00854D8B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</w:pPr>
      <w:r w:rsidRPr="00854D8B">
        <w:rPr>
          <w:sz w:val="28"/>
          <w:szCs w:val="28"/>
        </w:rPr>
        <w:t xml:space="preserve">       Число родившихся детей по сравнению с 2019 годом уменьшилось на 5 человек и составило 11 детей, естественный прирост отрицательный и составляет 22 человека. В условиях естественной убыли населения одним из источников пополнения, как всей численности населения, так и  трудоспособной ее части, является внешняя миграция.  По оценке в 2020 году в последующих годах планируется плавное незначительное уменьшение численности населения Мичуринского сельского поселения за счет внешней миграции и за счет увеличения разрыва между числом родившихся и умерших людей.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 w:rsidRPr="00854D8B">
        <w:rPr>
          <w:sz w:val="28"/>
          <w:szCs w:val="28"/>
        </w:rPr>
        <w:t xml:space="preserve">Так по оценке, на конец, 2020 года численность населения в Мичуринском сельском поселении составит 5312 человек, а к концу 2023 года 5165 </w:t>
      </w:r>
      <w:r>
        <w:rPr>
          <w:color w:val="000000" w:themeColor="text1"/>
          <w:sz w:val="28"/>
          <w:szCs w:val="28"/>
        </w:rPr>
        <w:t>человек.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Раздел 2. Сельское хозяйство.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Администрацией Мичуринского сельского поселения проводится постоянная работа по созданию благоприятных условий для развития сельского хозяйства.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По оценке 2020 года объем производства сельскохозяйственной продукции по всем категориям хозяйств составит 157926 тыс. руб., индекс производства продукции сельского хозяйства к 2019 году составляет 107,8%.  По прогнозу </w:t>
      </w:r>
      <w:r w:rsidR="0007246B">
        <w:rPr>
          <w:color w:val="000000" w:themeColor="text1"/>
          <w:sz w:val="28"/>
          <w:szCs w:val="28"/>
        </w:rPr>
        <w:t>в 2021</w:t>
      </w:r>
      <w:r>
        <w:rPr>
          <w:color w:val="000000" w:themeColor="text1"/>
          <w:sz w:val="28"/>
          <w:szCs w:val="28"/>
        </w:rPr>
        <w:t xml:space="preserve"> году планируется получить продукцию сельского хозяйства в категориях всех хозяйств на сумму 168780 тыс. руб. Индекс производства продукции сельского хозяйства составит 104,2%. К 2023 году объем производства сельскохозяйственной продукции составит 189602 тыс. руб.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приоритетной отраслью в сельскохозяйственном производстве  является растениеводство. Сельскохозяйственным производством в сельском поселении заняты такие предприятия как </w:t>
      </w:r>
      <w:r>
        <w:rPr>
          <w:color w:val="FF0000"/>
          <w:sz w:val="28"/>
          <w:szCs w:val="28"/>
        </w:rPr>
        <w:t>ИП Барышников</w:t>
      </w:r>
      <w:r>
        <w:rPr>
          <w:sz w:val="28"/>
          <w:szCs w:val="28"/>
        </w:rPr>
        <w:t xml:space="preserve">, СПК «Мичуринский», КФХ Арсентьев Н.Н., личные </w:t>
      </w:r>
      <w:r>
        <w:rPr>
          <w:sz w:val="28"/>
          <w:szCs w:val="28"/>
        </w:rPr>
        <w:lastRenderedPageBreak/>
        <w:t>подсобные хозяйства.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2021-2023 годы рост продукции сельского хозяйства будет обеспечен за счет роста объемов производства в растениеводстве. Увеличение объемов за счет ввода в оборот неиспользуемых ранее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, повышения урожайности путем применения  элитных семян и посадочного материала, современных технологий выращивания овощей. 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животноводстве наметилась тенденция к снижению поголовья крупного рогатого скота. По плану до 2023 года предусматривается увеличение поголовья овец и птиц в личных подсобных хозяйствах граждан сельского поселения. Тем самым решается вопрос по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Раздел 3. Рынок товаров и услуг.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К основным тенденциям развития потребительского рынка поселения следует отнести увеличение объемов оборота  розничной торговли, позитивные изменения в организации торговли, динамичное развитие инфраструктуры отрасли и повышения качества оказываемых услуг. В 2021-2023 годах сохранится тенденция роста оборота розничной торговли.  К прогнозу на 2021 год оборот розничной торговли составит 93511 тыс. руб., с темпом роста в сопоставимых ценах 101,2%. К 2023 году оборот розничной торговли достигнет 105007 тыс. руб.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Раздел 4. Инвестиционная деятельность.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 На развитие экономики и социальной сферы поселения  в 2020 году прогнозируется направить инвестиций в основной капитал в сумме 56262,0 тыс. руб. В структуру инвестиций в основной капитал в целом по району входит инвестиции на строительство и приобретение  сооружений, приобретение машин, оборудования, инвентаря.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Раздел 5. Уровень жизни населения.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2021-2023 годах предполагаются незначительные темпы роста </w:t>
      </w:r>
      <w:r>
        <w:rPr>
          <w:color w:val="000000" w:themeColor="text1"/>
          <w:sz w:val="28"/>
          <w:szCs w:val="28"/>
        </w:rPr>
        <w:lastRenderedPageBreak/>
        <w:t xml:space="preserve">денежных доходов населения за счет всех составляющих: заработной платы, трансфертов и выплат социального характера, доходов от собственности, предпринимательской деятельности. 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Основным фактором развития экономики и оценки ее эффективности является рост средней заработной платы.</w:t>
      </w:r>
    </w:p>
    <w:p w:rsidR="001C7E28" w:rsidRDefault="00397879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2019 году по полному кругу предприятий и организаций размер средней заработной платы составил 24427 руб. На территории  Мичуринского сельского поселения высокий уровень заработной платы обеспечен такими организациями и предприятиями как:  </w:t>
      </w:r>
    </w:p>
    <w:p w:rsidR="001C7E28" w:rsidRDefault="00397879">
      <w:pPr>
        <w:widowControl w:val="0"/>
        <w:numPr>
          <w:ilvl w:val="0"/>
          <w:numId w:val="2"/>
        </w:numPr>
        <w:shd w:val="clear" w:color="auto" w:fill="FFFFFF"/>
        <w:tabs>
          <w:tab w:val="left" w:pos="7522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ФКУ «Волгоградская психиатрическая больница (стационар) специализированного типа с интенсивным наблюдением»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Министерства здравоохранения Российской Федерации</w:t>
      </w:r>
      <w:r>
        <w:rPr>
          <w:color w:val="000000" w:themeColor="text1"/>
          <w:sz w:val="28"/>
          <w:szCs w:val="28"/>
        </w:rPr>
        <w:t>;</w:t>
      </w:r>
    </w:p>
    <w:p w:rsidR="001C7E28" w:rsidRDefault="00397879">
      <w:pPr>
        <w:widowControl w:val="0"/>
        <w:numPr>
          <w:ilvl w:val="0"/>
          <w:numId w:val="2"/>
        </w:numPr>
        <w:shd w:val="clear" w:color="auto" w:fill="FFFFFF"/>
        <w:tabs>
          <w:tab w:val="left" w:pos="7522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ФКУ «</w:t>
      </w:r>
      <w:proofErr w:type="spellStart"/>
      <w:r>
        <w:rPr>
          <w:color w:val="000000" w:themeColor="text1"/>
          <w:sz w:val="28"/>
          <w:szCs w:val="28"/>
        </w:rPr>
        <w:t>Камышинская</w:t>
      </w:r>
      <w:proofErr w:type="spellEnd"/>
      <w:r>
        <w:rPr>
          <w:color w:val="000000" w:themeColor="text1"/>
          <w:sz w:val="28"/>
          <w:szCs w:val="28"/>
        </w:rPr>
        <w:t xml:space="preserve"> воспитательная колония УФСИН России по Волгоградской области»;</w:t>
      </w:r>
    </w:p>
    <w:p w:rsidR="001C7E28" w:rsidRDefault="00397879">
      <w:pPr>
        <w:widowControl w:val="0"/>
        <w:numPr>
          <w:ilvl w:val="0"/>
          <w:numId w:val="2"/>
        </w:numPr>
        <w:shd w:val="clear" w:color="auto" w:fill="FFFFFF"/>
        <w:tabs>
          <w:tab w:val="left" w:pos="7522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МУП «Благоустройство и ЖКХ Мичуринского сельского поселения»;</w:t>
      </w:r>
    </w:p>
    <w:p w:rsidR="001C7E28" w:rsidRDefault="00397879">
      <w:pPr>
        <w:widowControl w:val="0"/>
        <w:numPr>
          <w:ilvl w:val="0"/>
          <w:numId w:val="2"/>
        </w:numPr>
        <w:shd w:val="clear" w:color="auto" w:fill="FFFFFF"/>
        <w:tabs>
          <w:tab w:val="left" w:pos="7522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ФКУ «ИК-24 УФСИН России по Волгоградской области». </w:t>
      </w:r>
    </w:p>
    <w:p w:rsidR="001C7E28" w:rsidRDefault="00397879">
      <w:pPr>
        <w:widowControl w:val="0"/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К 2023 году средняя заработная плата в Мичуринском сельском поселении  должна составить 26515 рублей.</w:t>
      </w: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spacing w:line="360" w:lineRule="auto"/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color w:val="000000" w:themeColor="text1"/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  <w:ind w:left="14"/>
        <w:jc w:val="both"/>
        <w:rPr>
          <w:sz w:val="28"/>
          <w:szCs w:val="28"/>
        </w:rPr>
      </w:pPr>
    </w:p>
    <w:p w:rsidR="001C7E28" w:rsidRDefault="001C7E28">
      <w:pPr>
        <w:widowControl w:val="0"/>
        <w:shd w:val="clear" w:color="auto" w:fill="FFFFFF"/>
        <w:tabs>
          <w:tab w:val="left" w:pos="7522"/>
        </w:tabs>
      </w:pPr>
    </w:p>
    <w:sectPr w:rsidR="001C7E28" w:rsidSect="00A1749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281"/>
    <w:multiLevelType w:val="multilevel"/>
    <w:tmpl w:val="7C3ED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712B0"/>
    <w:multiLevelType w:val="multilevel"/>
    <w:tmpl w:val="32CAC018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660106F9"/>
    <w:multiLevelType w:val="multilevel"/>
    <w:tmpl w:val="56C2D18E"/>
    <w:lvl w:ilvl="0">
      <w:start w:val="1"/>
      <w:numFmt w:val="decimal"/>
      <w:lvlText w:val="%1."/>
      <w:lvlJc w:val="left"/>
      <w:pPr>
        <w:ind w:left="844" w:hanging="360"/>
      </w:pPr>
    </w:lvl>
    <w:lvl w:ilvl="1">
      <w:start w:val="1"/>
      <w:numFmt w:val="lowerLetter"/>
      <w:lvlText w:val="%2."/>
      <w:lvlJc w:val="left"/>
      <w:pPr>
        <w:ind w:left="1564" w:hanging="360"/>
      </w:pPr>
    </w:lvl>
    <w:lvl w:ilvl="2">
      <w:start w:val="1"/>
      <w:numFmt w:val="lowerRoman"/>
      <w:lvlText w:val="%3."/>
      <w:lvlJc w:val="right"/>
      <w:pPr>
        <w:ind w:left="2284" w:hanging="180"/>
      </w:pPr>
    </w:lvl>
    <w:lvl w:ilvl="3">
      <w:start w:val="1"/>
      <w:numFmt w:val="decimal"/>
      <w:lvlText w:val="%4."/>
      <w:lvlJc w:val="left"/>
      <w:pPr>
        <w:ind w:left="3004" w:hanging="360"/>
      </w:pPr>
    </w:lvl>
    <w:lvl w:ilvl="4">
      <w:start w:val="1"/>
      <w:numFmt w:val="lowerLetter"/>
      <w:lvlText w:val="%5."/>
      <w:lvlJc w:val="left"/>
      <w:pPr>
        <w:ind w:left="3724" w:hanging="360"/>
      </w:pPr>
    </w:lvl>
    <w:lvl w:ilvl="5">
      <w:start w:val="1"/>
      <w:numFmt w:val="lowerRoman"/>
      <w:lvlText w:val="%6."/>
      <w:lvlJc w:val="right"/>
      <w:pPr>
        <w:ind w:left="4444" w:hanging="180"/>
      </w:pPr>
    </w:lvl>
    <w:lvl w:ilvl="6">
      <w:start w:val="1"/>
      <w:numFmt w:val="decimal"/>
      <w:lvlText w:val="%7."/>
      <w:lvlJc w:val="left"/>
      <w:pPr>
        <w:ind w:left="5164" w:hanging="360"/>
      </w:pPr>
    </w:lvl>
    <w:lvl w:ilvl="7">
      <w:start w:val="1"/>
      <w:numFmt w:val="lowerLetter"/>
      <w:lvlText w:val="%8."/>
      <w:lvlJc w:val="left"/>
      <w:pPr>
        <w:ind w:left="5884" w:hanging="360"/>
      </w:pPr>
    </w:lvl>
    <w:lvl w:ilvl="8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1C7E28"/>
    <w:rsid w:val="0007246B"/>
    <w:rsid w:val="001C7E28"/>
    <w:rsid w:val="00397879"/>
    <w:rsid w:val="003E0A00"/>
    <w:rsid w:val="004A56AD"/>
    <w:rsid w:val="00533BFB"/>
    <w:rsid w:val="00587620"/>
    <w:rsid w:val="006E6E70"/>
    <w:rsid w:val="00820E9A"/>
    <w:rsid w:val="00854D8B"/>
    <w:rsid w:val="009F68F3"/>
    <w:rsid w:val="00A17496"/>
    <w:rsid w:val="00BD2245"/>
    <w:rsid w:val="00F6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07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07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A174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17496"/>
    <w:pPr>
      <w:spacing w:after="140" w:line="288" w:lineRule="auto"/>
    </w:pPr>
  </w:style>
  <w:style w:type="paragraph" w:styleId="a8">
    <w:name w:val="List"/>
    <w:basedOn w:val="a7"/>
    <w:rsid w:val="00A17496"/>
    <w:rPr>
      <w:rFonts w:cs="Arial"/>
    </w:rPr>
  </w:style>
  <w:style w:type="paragraph" w:styleId="a9">
    <w:name w:val="caption"/>
    <w:basedOn w:val="a"/>
    <w:qFormat/>
    <w:rsid w:val="00A1749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A1749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80F0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E399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C0742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0742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16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EB9-F8A1-4281-BBD5-0DB63A88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SPecialiST</cp:lastModifiedBy>
  <cp:revision>3</cp:revision>
  <cp:lastPrinted>2018-11-04T10:54:00Z</cp:lastPrinted>
  <dcterms:created xsi:type="dcterms:W3CDTF">2020-11-16T13:39:00Z</dcterms:created>
  <dcterms:modified xsi:type="dcterms:W3CDTF">2020-11-16T13:44:00Z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